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121212"/>
          <w:sz w:val="36"/>
        </w:rPr>
        <w:t>ADATKEZELÉSI TÁJÉKOZTATÓ</w:t>
      </w:r>
    </w:p>
    <w:p>
      <w:pPr>
        <w:jc w:val="center"/>
      </w:pPr>
      <w:r>
        <w:rPr>
          <w:rFonts w:ascii="Times New Roman" w:hAnsi="Times New Roman"/>
          <w:i/>
          <w:color w:val="737373"/>
          <w:sz w:val="21"/>
        </w:rPr>
        <w:t>A személyes adatok kezeléséről — Mayer’s Meat &amp; Table Kft.</w:t>
      </w:r>
    </w:p>
    <w:p/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 xml:space="preserve">A Mayer’s Meat &amp; Table Kft. (a továbbiakban: </w:t>
      </w:r>
      <w:r>
        <w:rPr>
          <w:rFonts w:ascii="Times New Roman" w:hAnsi="Times New Roman"/>
          <w:b/>
          <w:i w:val="0"/>
          <w:color w:val="121212"/>
        </w:rPr>
        <w:t>Adatkezelő</w:t>
      </w:r>
      <w:r>
        <w:rPr>
          <w:rFonts w:ascii="Times New Roman" w:hAnsi="Times New Roman"/>
          <w:b w:val="0"/>
          <w:i w:val="0"/>
          <w:color w:val="121212"/>
        </w:rPr>
        <w:t xml:space="preserve"> vagy </w:t>
      </w:r>
      <w:r>
        <w:rPr>
          <w:rFonts w:ascii="Times New Roman" w:hAnsi="Times New Roman"/>
          <w:b/>
          <w:i w:val="0"/>
          <w:color w:val="121212"/>
        </w:rPr>
        <w:t>Társaság</w:t>
      </w:r>
      <w:r>
        <w:rPr>
          <w:rFonts w:ascii="Times New Roman" w:hAnsi="Times New Roman"/>
          <w:b w:val="0"/>
          <w:i w:val="0"/>
          <w:color w:val="121212"/>
        </w:rPr>
        <w:t xml:space="preserve">) elkötelezett ügyfelei, partnerei és a weboldal látogatói személyes adatainak védelme iránt. A jelen Adatkezelési Tájékoztató (a továbbiakban: </w:t>
      </w:r>
      <w:r>
        <w:rPr>
          <w:rFonts w:ascii="Times New Roman" w:hAnsi="Times New Roman"/>
          <w:b/>
          <w:i w:val="0"/>
          <w:color w:val="121212"/>
        </w:rPr>
        <w:t>Tájékoztató</w:t>
      </w:r>
      <w:r>
        <w:rPr>
          <w:rFonts w:ascii="Times New Roman" w:hAnsi="Times New Roman"/>
          <w:b w:val="0"/>
          <w:i w:val="0"/>
          <w:color w:val="121212"/>
        </w:rPr>
        <w:t>) azt mutatja be, hogy a Társaság milyen személyes adatokat, milyen célból, milyen jogalapon és meddig kezel, kik férnek hozzá az adatokhoz, valamint milyen jogok illetik meg az érintetteket.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az adatkezelést az Európai Parlament és a Tanács (EU) 2016/679 rendelete (</w:t>
      </w:r>
      <w:r>
        <w:rPr>
          <w:rFonts w:ascii="Times New Roman" w:hAnsi="Times New Roman"/>
          <w:b/>
          <w:i w:val="0"/>
          <w:color w:val="121212"/>
        </w:rPr>
        <w:t>GDPR</w:t>
      </w:r>
      <w:r>
        <w:rPr>
          <w:rFonts w:ascii="Times New Roman" w:hAnsi="Times New Roman"/>
          <w:b w:val="0"/>
          <w:i w:val="0"/>
          <w:color w:val="121212"/>
        </w:rPr>
        <w:t>), valamint az információs önrendelkezési jogról és az információszabadságról szóló 2011. évi CXII. törvény (</w:t>
      </w:r>
      <w:r>
        <w:rPr>
          <w:rFonts w:ascii="Times New Roman" w:hAnsi="Times New Roman"/>
          <w:b/>
          <w:i w:val="0"/>
          <w:color w:val="121212"/>
        </w:rPr>
        <w:t>Infotv.</w:t>
      </w:r>
      <w:r>
        <w:rPr>
          <w:rFonts w:ascii="Times New Roman" w:hAnsi="Times New Roman"/>
          <w:b w:val="0"/>
          <w:i w:val="0"/>
          <w:color w:val="121212"/>
        </w:rPr>
        <w:t>) rendelkezéseinek megfelelően végzi.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 xml:space="preserve">Hatályos: </w:t>
      </w:r>
      <w:r>
        <w:rPr>
          <w:rFonts w:ascii="Times New Roman" w:hAnsi="Times New Roman"/>
          <w:b/>
          <w:i w:val="0"/>
          <w:color w:val="121212"/>
        </w:rPr>
        <w:t>2026. július 22.</w:t>
      </w:r>
      <w:r>
        <w:rPr>
          <w:rFonts w:ascii="Times New Roman" w:hAnsi="Times New Roman"/>
          <w:b w:val="0"/>
          <w:i w:val="0"/>
          <w:color w:val="121212"/>
        </w:rPr>
        <w:t xml:space="preserve"> napjától. Verzió: </w:t>
      </w:r>
      <w:r>
        <w:rPr>
          <w:rFonts w:ascii="Times New Roman" w:hAnsi="Times New Roman"/>
          <w:b/>
          <w:i w:val="0"/>
          <w:color w:val="121212"/>
        </w:rPr>
        <w:t>1.0</w:t>
      </w:r>
      <w:r>
        <w:rPr>
          <w:rFonts w:ascii="Times New Roman" w:hAnsi="Times New Roman"/>
          <w:b w:val="0"/>
          <w:i w:val="0"/>
          <w:color w:val="121212"/>
        </w:rPr>
        <w:t>.</w:t>
      </w:r>
    </w:p>
    <w:p>
      <w:pPr>
        <w:spacing w:before="120"/>
      </w:pPr>
      <w:r>
        <w:rPr>
          <w:rFonts w:ascii="Times New Roman" w:hAnsi="Times New Roman"/>
          <w:b/>
          <w:i w:val="0"/>
          <w:color w:val="1A2233"/>
          <w:sz w:val="24"/>
        </w:rPr>
        <w:t>Tartalom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Az Adatkezelő adatai és elérhetőségei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Fogalmak és alapelvek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Az egyes adatkezelések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Adatfeldolgozók és címzettek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Adattovábbítás harmadik országba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Adatbiztonság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Az érintett jogai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Jogorvoslati lehetőségek</w:t>
      </w:r>
    </w:p>
    <w:p>
      <w:pPr>
        <w:pStyle w:val="ListNumber"/>
        <w:spacing w:after="20"/>
      </w:pPr>
      <w:r>
        <w:rPr>
          <w:rFonts w:ascii="Times New Roman" w:hAnsi="Times New Roman"/>
          <w:b w:val="0"/>
          <w:i w:val="0"/>
          <w:color w:val="121212"/>
        </w:rPr>
        <w:t>A Tájékoztató módosítása</w:t>
      </w:r>
    </w:p>
    <w:p/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1. Az Adatkezelő adatai és elérhetőségei</w:t>
      </w:r>
    </w:p>
    <w:p>
      <w:pPr>
        <w:pStyle w:val="ListBullet"/>
        <w:keepLines/>
        <w:spacing w:after="40"/>
      </w:pPr>
      <w:r>
        <w:rPr>
          <w:rFonts w:ascii="Times New Roman" w:hAnsi="Times New Roman"/>
          <w:b w:val="0"/>
          <w:i w:val="0"/>
          <w:color w:val="121212"/>
        </w:rPr>
        <w:t xml:space="preserve">Cégnév: </w:t>
      </w:r>
      <w:r>
        <w:rPr>
          <w:rFonts w:ascii="Times New Roman" w:hAnsi="Times New Roman"/>
          <w:b/>
          <w:i w:val="0"/>
          <w:color w:val="121212"/>
        </w:rPr>
        <w:t>Mayer’s Meat &amp; Table Kft.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Székhely: 1025 Budapest, Barlang utca 6. fszt. 1.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Cégjegyzékszám: [a cégkivonat szerinti szám kitöltendő]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Adószám: 14865754-2-41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Képviseli: Mayer Zsolt Péter ügyvezető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E-mail: info@mayersmeatandtable.hu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Telefon / WhatsApp: +36 30 084 9500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Weboldal: mayersmeatandtable.hu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Az adatkezeléssel kapcsolatos kérdésekben, valamint az érintetti jogok gyakorlása érdekében a Társaság a fenti e-mail címen érhető el. A Társaság önálló adatvédelmi tisztviselő (DPO) kijelölésére a GDPR alapján nem köteles; amennyiben a Társaság adatvédelmi tisztviselőt jelöl ki, annak elérhetőségét a jelen Tájékoztatóban közzéteszi.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2. Fogalmak és alapelvek</w:t>
      </w:r>
    </w:p>
    <w:p>
      <w:pPr>
        <w:keepLines/>
        <w:jc w:val="both"/>
      </w:pPr>
      <w:r>
        <w:rPr>
          <w:rFonts w:ascii="Times New Roman" w:hAnsi="Times New Roman"/>
          <w:b/>
          <w:i w:val="0"/>
          <w:color w:val="121212"/>
        </w:rPr>
        <w:t>Személyes adat:</w:t>
      </w:r>
      <w:r>
        <w:rPr>
          <w:rFonts w:ascii="Times New Roman" w:hAnsi="Times New Roman"/>
          <w:b w:val="0"/>
          <w:i w:val="0"/>
          <w:color w:val="121212"/>
        </w:rPr>
        <w:t xml:space="preserve"> az azonosított vagy azonosítható természetes személyre (érintett) vonatkozó bármely információ. </w:t>
      </w:r>
      <w:r>
        <w:rPr>
          <w:rFonts w:ascii="Times New Roman" w:hAnsi="Times New Roman"/>
          <w:b/>
          <w:i w:val="0"/>
          <w:color w:val="121212"/>
        </w:rPr>
        <w:t>Érintett:</w:t>
      </w:r>
      <w:r>
        <w:rPr>
          <w:rFonts w:ascii="Times New Roman" w:hAnsi="Times New Roman"/>
          <w:b w:val="0"/>
          <w:i w:val="0"/>
          <w:color w:val="121212"/>
        </w:rPr>
        <w:t xml:space="preserve"> az a természetes személy, akinek adatait a Társaság kezeli (vásárló, kapcsolattartó, látogató). </w:t>
      </w:r>
      <w:r>
        <w:rPr>
          <w:rFonts w:ascii="Times New Roman" w:hAnsi="Times New Roman"/>
          <w:b/>
          <w:i w:val="0"/>
          <w:color w:val="121212"/>
        </w:rPr>
        <w:t>Adatkezelés:</w:t>
      </w:r>
      <w:r>
        <w:rPr>
          <w:rFonts w:ascii="Times New Roman" w:hAnsi="Times New Roman"/>
          <w:b w:val="0"/>
          <w:i w:val="0"/>
          <w:color w:val="121212"/>
        </w:rPr>
        <w:t xml:space="preserve"> az adatokon végzett bármely művelet (gyűjtés, tárolás, felhasználás, továbbítás, törlés). </w:t>
      </w:r>
      <w:r>
        <w:rPr>
          <w:rFonts w:ascii="Times New Roman" w:hAnsi="Times New Roman"/>
          <w:b/>
          <w:i w:val="0"/>
          <w:color w:val="121212"/>
        </w:rPr>
        <w:t>Adatfeldolgozó:</w:t>
      </w:r>
      <w:r>
        <w:rPr>
          <w:rFonts w:ascii="Times New Roman" w:hAnsi="Times New Roman"/>
          <w:b w:val="0"/>
          <w:i w:val="0"/>
          <w:color w:val="121212"/>
        </w:rPr>
        <w:t xml:space="preserve"> aki az Adatkezelő nevében személyes adatokat kezel.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az adatokat jogszerűen, tisztességesen és átlátható módon, meghatározott célból, a célhoz szükséges mértékben, pontosan, a szükséges ideig, valamint megfelelő biztonsági intézkedések mellett kezeli.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3. Az egyes adatkezelések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az alábbi célokból, jogalapokon és megőrzési időtartammal kezel személyes adatokat. A jogalapoknál a GDPR 6. cikkére hivatkozunk.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3.1. Webshop-fiók / regisztráció (ha elérhető)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vásárlás megkönnyítése, a korábbi rendelések és adatok kezelése.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e-mail cím, jelszó (titkosítva), szállítási és számlázási cím, telefonszám.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az érintett hozzájárulása [6. cikk (1) a)].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fiók törléséig, illetve a hozzájárulás visszavonásáig.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3.2. Megrendelés teljesítése (adásvételi szerződés)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megrendelés feldolgozása, a termék kiszállítása, kapcsolattartás a teljesítésről.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szállítási és számlázási cím, e-mail cím, telefonszám, a megrendelés adatai.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szerződés teljesítése [6. cikk (1) b)].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szerződés teljesítését követő, a polgári jogi igények elévüléséhez igazodó ideig (általános elévülési idő: 5 év).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3.3. Számlázás és könyvviteli kötelezettség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jogszabály szerinti számla kiállítása és megőrzése.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számlázási név és cím, a vásárlás adatai; vállalkozás esetén adószám.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jogi kötelezettség teljesítése [6. cikk (1) c)] – a számvitelről szóló 2000. évi C. törvény és az áfatörvény alapján.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 xml:space="preserve">Megőrzés: a számviteli törvény szerint a bizonylat kiállításától számított </w:t>
      </w:r>
      <w:r>
        <w:rPr>
          <w:rFonts w:ascii="Times New Roman" w:hAnsi="Times New Roman"/>
          <w:b/>
          <w:i w:val="0"/>
          <w:color w:val="121212"/>
        </w:rPr>
        <w:t>8 év</w:t>
      </w:r>
      <w:r>
        <w:rPr>
          <w:rFonts w:ascii="Times New Roman" w:hAnsi="Times New Roman"/>
          <w:b w:val="0"/>
          <w:i w:val="0"/>
          <w:color w:val="121212"/>
        </w:rPr>
        <w:t>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3.4. Online fizetés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vásárlás ellenértékének biztonságos kiegyenlítése.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a fizetéshez szükséges azonosító és tranzakciós adatok; a bankkártyaadatokat közvetlenül a fizetési szolgáltató kezeli, azokhoz a Társaság nem fér hozzá.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szerződés teljesítése [6. cikk (1) b)].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tranzakció elszámolásához és a számviteli előírásokhoz igazodó ideig.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3.5. Kiszállítás (fuvarozás)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megrendelt termék eljuttatása az érintetthez.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szállítási cím, telefonszám, e-mail cím.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szerződés teljesítése [6. cikk (1) b)].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kiszállítás teljesítéséig, majd a szállítási partner saját szabályai szerint.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3.6. Panasz- és reklamációkezelés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bejelentett panaszok, minőségi kifogások kivizsgálása és kezelése.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elérhetőség, a panasz tartalma és a csatolt dokumentáció (pl. fénykép).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jogi kötelezettség teljesítése [6. cikk (1) c)] a fogyasztóvédelmi törvény alapján, illetve a Társaság jogos érdeke [6. cikk (1) f)].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fogyasztóvédelmi törvény szerinti ideig (a panaszról felvett jegyzőkönyv és válasz: 5 év).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3.7. Ügyfélszolgálati kommunikáció (e-mail, WhatsApp, telefon)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megkeresések, kérdések megválaszolása, kapcsolattartás.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elérhetőség, az üzenetváltás tartalma.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a Társaság jogos érdeke a megkeresések kezeléséhez [6. cikk (1) f)], illetve szerződéses kapcsolat esetén annak teljesítése [6. cikk (1) b)].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megkeresés lezárását követő észszerű ideig, legfeljebb az elévülési idő végéig.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3.8. Hírlevél és marketing (ha van feliratkozás)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tájékoztatás akciókról, új termékekről, ajánlatokról.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név, e-mail cím.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az érintett önkéntes hozzájárulása [6. cikk (1) a)], a gazdasági reklámtevékenységről szóló 2008. évi XLVIII. törvény szerint.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hozzájárulás visszavonásáig (a leiratkozás minden hírlevélben biztosított).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3.9. Viszonteladó (B2B) partnerek kapcsolattartói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Cél: a partneri együttműködés teljesítése, a rendelésre és átvételre jogosult személyek azonosítása.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Kezelt adatok: a kapcsolattartó / jogosult személy neve, beosztása, telefonszáma, e-mail címe.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Jogalap: a Társaság és a partner jogos érdeke az együttműködés teljesítéséhez [6. cikk (1) f)], illetve szerződés teljesítése [6. cikk (1) b)].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Megőrzés: a partneri jogviszony fennállása alatt és annak megszűnését követő elévülési ideig.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3.10. Sütik (cookie-k) és látogatottsági adatok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 xml:space="preserve">A weboldal működéséhez szükséges (technikai), valamint – az érintett hozzájárulásával – statisztikai és marketing célú sütiket használhat. A sütik kezelésének részleteit, típusait és élettartamát a weboldalon elérhető külön </w:t>
      </w:r>
      <w:r>
        <w:rPr>
          <w:rFonts w:ascii="Times New Roman" w:hAnsi="Times New Roman"/>
          <w:b/>
          <w:i w:val="0"/>
          <w:color w:val="121212"/>
        </w:rPr>
        <w:t>Süti (Cookie) Tájékoztató</w:t>
      </w:r>
      <w:r>
        <w:rPr>
          <w:rFonts w:ascii="Times New Roman" w:hAnsi="Times New Roman"/>
          <w:b w:val="0"/>
          <w:i w:val="0"/>
          <w:color w:val="121212"/>
        </w:rPr>
        <w:t xml:space="preserve"> tartalmazza. A hozzájáruláshoz kötött sütik jogalapja az érintett hozzájárulása [6. cikk (1) a)].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4. Adatfeldolgozók és címzettek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az adatkezelés egyes műveleteihez adatfeldolgozókat vesz igénybe, akik az adatokat kizárólag a Társaság utasítása szerint, a jelen célokból kezelik. A tipikus adatfeldolgozói kör: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Tárhelyszolgáltató:</w:t>
      </w:r>
      <w:r>
        <w:rPr>
          <w:rFonts w:ascii="Times New Roman" w:hAnsi="Times New Roman"/>
          <w:b w:val="0"/>
          <w:i w:val="0"/>
          <w:color w:val="121212"/>
        </w:rPr>
        <w:t xml:space="preserve"> a weboldal és adatai tárolása – [tárhelyszolgáltató neve és elérhetősége a weboldal Impresszumában].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Számlázási szolgáltató:</w:t>
      </w:r>
      <w:r>
        <w:rPr>
          <w:rFonts w:ascii="Times New Roman" w:hAnsi="Times New Roman"/>
          <w:b w:val="0"/>
          <w:i w:val="0"/>
          <w:color w:val="121212"/>
        </w:rPr>
        <w:t xml:space="preserve"> a számlák kiállítása és tárolása (Számlázz.hu – KBOSS.hu Kft.).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Online fizetési szolgáltató:</w:t>
      </w:r>
      <w:r>
        <w:rPr>
          <w:rFonts w:ascii="Times New Roman" w:hAnsi="Times New Roman"/>
          <w:b w:val="0"/>
          <w:i w:val="0"/>
          <w:color w:val="121212"/>
        </w:rPr>
        <w:t xml:space="preserve"> a bankkártyás fizetés lebonyolítása (a mindenkori, a weboldalon megjelölt fizetési szolgáltató).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Futár- / szállítási partner:</w:t>
      </w:r>
      <w:r>
        <w:rPr>
          <w:rFonts w:ascii="Times New Roman" w:hAnsi="Times New Roman"/>
          <w:b w:val="0"/>
          <w:i w:val="0"/>
          <w:color w:val="121212"/>
        </w:rPr>
        <w:t xml:space="preserve"> a megrendelt termék kiszállítása.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Hírlevélküldő rendszer:</w:t>
      </w:r>
      <w:r>
        <w:rPr>
          <w:rFonts w:ascii="Times New Roman" w:hAnsi="Times New Roman"/>
          <w:b w:val="0"/>
          <w:i w:val="0"/>
          <w:color w:val="121212"/>
        </w:rPr>
        <w:t xml:space="preserve"> a marketing üzenetek kiküldése (amennyiben a Társaság ilyet használ).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Kommunikációs szolgáltató:</w:t>
      </w:r>
      <w:r>
        <w:rPr>
          <w:rFonts w:ascii="Times New Roman" w:hAnsi="Times New Roman"/>
          <w:b w:val="0"/>
          <w:i w:val="0"/>
          <w:color w:val="121212"/>
        </w:rPr>
        <w:t xml:space="preserve"> a WhatsApp üzenetküldés (Meta Platforms Ireland Ltd.).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személyes adatokat harmadik félnek marketing célból nem ad el és nem ad át. Adattovábbításra jogszabályi kötelezettség alapján (pl. hatóság, bíróság megkeresése) kerülhet sor.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5. Adattovábbítás harmadik országba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az adatokat elsődlegesen az Európai Gazdasági Térségen belül kezeli. Egyes szolgáltatók (így a WhatsApp / Meta) igénybevétele során az adatok az Európai Gazdasági Térségen kívülre is továbbításra kerülhetnek; ez esetben a továbbítás a GDPR szerinti megfelelő garanciák (így az Európai Bizottság megfelelőségi határozata vagy általános adatvédelmi szerződési feltételek) mellett történik. Az érintett a WhatsApp helyett bármikor választhatja a telefonos vagy e-mailes kapcsolattartást.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6. Adatbiztonság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 személyes adatok védelme érdekében megfelelő technikai és szervezési intézkedéseket alkalmaz, így különösen: a hozzáférés jogosultsághoz kötése, jelszavas védelem, a bizalmas kezelés, valamint az adatokat kezelő rendszerek észszerű védelme a jogosulatlan hozzáférés, megváltoztatás, továbbítás, törlés vagy megsemmisülés ellen. Adatvédelmi incidens esetén a Társaság a jogszabályi előírások szerint jár el.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7. Az érintett jogai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Az érintettet az adatkezeléssel összefüggésben az alábbi jogok illetik meg, amelyeket a Társaság 1. pont szerinti elérhetőségein gyakorolhat: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Tájékoztatáshoz és hozzáféréshez való jog:</w:t>
      </w:r>
      <w:r>
        <w:rPr>
          <w:rFonts w:ascii="Times New Roman" w:hAnsi="Times New Roman"/>
          <w:b w:val="0"/>
          <w:i w:val="0"/>
          <w:color w:val="121212"/>
        </w:rPr>
        <w:t xml:space="preserve"> tájékoztatást kérhet arról, hogy adatait kezelik-e, és másolatot kérhet a kezelt adatokról.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Helyesbítéshez való jog:</w:t>
      </w:r>
      <w:r>
        <w:rPr>
          <w:rFonts w:ascii="Times New Roman" w:hAnsi="Times New Roman"/>
          <w:b w:val="0"/>
          <w:i w:val="0"/>
          <w:color w:val="121212"/>
        </w:rPr>
        <w:t xml:space="preserve"> kérheti a pontatlan adatok javítását, a hiányos adatok kiegészítését.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Törléshez való jog („elfeledtetéshez való jog”):</w:t>
      </w:r>
      <w:r>
        <w:rPr>
          <w:rFonts w:ascii="Times New Roman" w:hAnsi="Times New Roman"/>
          <w:b w:val="0"/>
          <w:i w:val="0"/>
          <w:color w:val="121212"/>
        </w:rPr>
        <w:t xml:space="preserve"> kérheti adatai törlését, ha az adatkezelés célja megszűnt, vagy a hozzájárulását visszavonta – kivéve, ha az adatkezelést jogszabály (pl. számviteli megőrzés) írja elő.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Az adatkezelés korlátozásához való jog:</w:t>
      </w:r>
      <w:r>
        <w:rPr>
          <w:rFonts w:ascii="Times New Roman" w:hAnsi="Times New Roman"/>
          <w:b w:val="0"/>
          <w:i w:val="0"/>
          <w:color w:val="121212"/>
        </w:rPr>
        <w:t xml:space="preserve"> bizonyos esetekben kérheti az adatkezelés korlátozását.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Tiltakozáshoz való jog:</w:t>
      </w:r>
      <w:r>
        <w:rPr>
          <w:rFonts w:ascii="Times New Roman" w:hAnsi="Times New Roman"/>
          <w:b w:val="0"/>
          <w:i w:val="0"/>
          <w:color w:val="121212"/>
        </w:rPr>
        <w:t xml:space="preserve"> tiltakozhat a jogos érdeken alapuló adatkezelés ellen.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Adathordozhatósághoz való jog:</w:t>
      </w:r>
      <w:r>
        <w:rPr>
          <w:rFonts w:ascii="Times New Roman" w:hAnsi="Times New Roman"/>
          <w:b w:val="0"/>
          <w:i w:val="0"/>
          <w:color w:val="121212"/>
        </w:rPr>
        <w:t xml:space="preserve"> a hozzájáruláson vagy szerződésen alapuló, automatizált adatkezelés esetén kérheti adatai tagolt, géppel olvasható formátumban való kiadását.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Hozzájárulás visszavonásához való jog:</w:t>
      </w:r>
      <w:r>
        <w:rPr>
          <w:rFonts w:ascii="Times New Roman" w:hAnsi="Times New Roman"/>
          <w:b w:val="0"/>
          <w:i w:val="0"/>
          <w:color w:val="121212"/>
        </w:rPr>
        <w:t xml:space="preserve"> a hozzájáruláson alapuló adatkezelést (pl. hírlevél) bármikor, díjmentesen visszavonhatja; ez a visszavonás előtti adatkezelés jogszerűségét nem érinti.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a kérelmet indokolatlan késedelem nélkül, de legkésőbb a beérkezéstől számított egy hónapon belül teljesíti, illetve tájékoztatást ad a megtett intézkedésekről. A kérelmek teljesítése főszabály szerint díjmentes.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8. Jogorvoslati lehetőségek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Amennyiben az érintett úgy ítéli meg, hogy adatai kezelése nem felel meg a jogszabályoknak, jogorvoslatért az alábbi módokon fordulhat: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8.1. Az Adatkezelőhöz fordulás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Az érintett elsődlegesen a Társasághoz fordulhat panaszával az 1. pont szerinti elérhetőségeken; a Társaság a panaszt kivizsgálja és arra érdemi választ ad.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8.2. Felügyeleti hatóság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Az érintett panaszt tehet a felügyeleti hatóságnál:</w:t>
      </w:r>
    </w:p>
    <w:p>
      <w:pPr>
        <w:pStyle w:val="ListBullet"/>
        <w:spacing w:after="40"/>
      </w:pPr>
      <w:r>
        <w:rPr>
          <w:rFonts w:ascii="Times New Roman" w:hAnsi="Times New Roman"/>
          <w:b/>
          <w:i w:val="0"/>
          <w:color w:val="121212"/>
        </w:rPr>
        <w:t>Nemzeti Adatvédelmi és Információszabadság Hatóság (NAIH)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Cím: 1055 Budapest, Falk Miksa utca 9–11.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Levelezési cím: 1363 Budapest, Pf.: 9.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Telefon: +36 1 391 1400</w:t>
      </w:r>
    </w:p>
    <w:p>
      <w:pPr>
        <w:pStyle w:val="ListBullet"/>
        <w:spacing w:after="40"/>
      </w:pPr>
      <w:r>
        <w:rPr>
          <w:rFonts w:ascii="Times New Roman" w:hAnsi="Times New Roman"/>
          <w:b w:val="0"/>
          <w:i w:val="0"/>
          <w:color w:val="121212"/>
        </w:rPr>
        <w:t>E-mail: ugyfelszolgalat@naih.hu · Weboldal: www.naih.hu</w:t>
      </w:r>
    </w:p>
    <w:p>
      <w:pPr>
        <w:spacing w:before="80"/>
      </w:pPr>
      <w:r>
        <w:rPr>
          <w:rFonts w:ascii="Times New Roman" w:hAnsi="Times New Roman"/>
          <w:b/>
          <w:i w:val="0"/>
          <w:color w:val="121212"/>
          <w:sz w:val="22"/>
        </w:rPr>
        <w:t>8.3. Bírósági jogérvényesítés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121212"/>
        </w:rPr>
        <w:t>Az érintett a jogainak megsértése esetén bírósághoz is fordulhat. A per – az érintett választása szerint – a lakóhelye vagy tartózkodási helye szerinti törvényszék előtt is megindítható.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A2233"/>
          <w:sz w:val="27"/>
        </w:rPr>
        <w:t>9. A Tájékoztató módosítása</w:t>
      </w:r>
    </w:p>
    <w:p>
      <w:pPr>
        <w:keepLines/>
        <w:jc w:val="both"/>
      </w:pPr>
      <w:r>
        <w:rPr>
          <w:rFonts w:ascii="Times New Roman" w:hAnsi="Times New Roman"/>
          <w:b w:val="0"/>
          <w:i w:val="0"/>
          <w:color w:val="121212"/>
        </w:rPr>
        <w:t>A Társaság fenntartja a jogot a jelen Tájékoztató egyoldalú módosítására, így különösen jogszabályváltozás, illetve az adatkezelés körülményeinek változása esetén. A mindenkor hatályos Tájékoztató a weboldalon folyamatosan elérhető. Lényeges változás esetén a Társaság az érintetteket megfelelő módon tájékoztatja.</w:t>
      </w:r>
    </w:p>
    <w:p/>
    <w:p>
      <w:pPr>
        <w:ind w:left="227"/>
      </w:pPr>
      <w:r>
        <w:rPr>
          <w:rFonts w:ascii="Times New Roman" w:hAnsi="Times New Roman"/>
          <w:b/>
          <w:i/>
          <w:color w:val="121212"/>
        </w:rPr>
        <w:t>A jelen Adatkezelési Tájékoztató a Mayer’s Meat &amp; Table Kft. weboldalán közzétett Általános Szerződési Feltételek és Süti Tájékoztató kiegészítő dokumentuma; együtt alkalmazandók.</w:t>
      </w:r>
    </w:p>
    <w:p/>
    <w:p>
      <w:pPr>
        <w:jc w:val="center"/>
      </w:pPr>
      <w:r>
        <w:rPr>
          <w:rFonts w:ascii="Times New Roman" w:hAnsi="Times New Roman"/>
          <w:b w:val="0"/>
          <w:i w:val="0"/>
          <w:color w:val="121212"/>
        </w:rPr>
        <w:t xml:space="preserve">Kiadja: </w:t>
      </w:r>
      <w:r>
        <w:rPr>
          <w:rFonts w:ascii="Times New Roman" w:hAnsi="Times New Roman"/>
          <w:b/>
          <w:i w:val="0"/>
          <w:color w:val="121212"/>
        </w:rPr>
        <w:t>Mayer’s Meat &amp; Table Kft.</w:t>
      </w:r>
      <w:r>
        <w:rPr>
          <w:rFonts w:ascii="Times New Roman" w:hAnsi="Times New Roman"/>
          <w:b w:val="0"/>
          <w:i w:val="0"/>
          <w:color w:val="121212"/>
        </w:rPr>
        <w:t xml:space="preserve"> — 1025 Budapest, Barlang utca 6. fszt. 1.</w:t>
      </w:r>
    </w:p>
    <w:p>
      <w:pPr>
        <w:jc w:val="center"/>
      </w:pPr>
      <w:r>
        <w:rPr>
          <w:rFonts w:ascii="Times New Roman" w:hAnsi="Times New Roman"/>
          <w:color w:val="737373"/>
          <w:sz w:val="17"/>
        </w:rPr>
        <w:t>Közzététel napja: 2026. július 22.  ·  Verzió: 1.0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decimal"/>
      </w:tabs>
    </w:pPr>
    <w:r>
      <w:rPr>
        <w:rFonts w:ascii="Times New Roman" w:hAnsi="Times New Roman"/>
        <w:color w:val="737373"/>
        <w:sz w:val="15"/>
      </w:rPr>
      <w:t>MAYER’S MEAT &amp; TABLE KFT. — Adatkezelési Tájékoztató</w:t>
    </w:r>
    <w:r>
      <w:tab/>
    </w:r>
    <w:r>
      <w:fldChar w:fldCharType="begin"/>
      <w:instrText xml:space="preserve">PAGE</w:instrText>
      <w:fldChar w:fldCharType="end"/>
    </w:r>
    <w:r>
      <w:rPr>
        <w:color w:val="737373"/>
        <w:sz w:val="15"/>
      </w:rPr>
      <w:t>. oldal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121212"/>
      </w:pBdr>
      <w:jc w:val="center"/>
    </w:pPr>
    <w:r>
      <w:drawing>
        <wp:inline xmlns:a="http://schemas.openxmlformats.org/drawingml/2006/main" xmlns:pic="http://schemas.openxmlformats.org/drawingml/2006/picture">
          <wp:extent cx="2232000" cy="93077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93077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Times New Roman" w:hAnsi="Times New Roman"/>
      <w:color w:val="12121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